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B" w:rsidRPr="00AC3BBB" w:rsidRDefault="00AC3BBB" w:rsidP="00AC3BBB">
      <w:pPr>
        <w:shd w:val="clear" w:color="auto" w:fill="FFFFFF"/>
        <w:textAlignment w:val="baseline"/>
        <w:outlineLvl w:val="0"/>
        <w:rPr>
          <w:rFonts w:ascii="Helvetica" w:eastAsia="Times New Roman" w:hAnsi="Helvetica" w:cs="Times New Roman"/>
          <w:b/>
          <w:bCs/>
          <w:color w:val="444444"/>
          <w:kern w:val="36"/>
          <w:sz w:val="48"/>
          <w:szCs w:val="48"/>
          <w:lang w:eastAsia="fr-FR"/>
        </w:rPr>
      </w:pPr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48"/>
          <w:szCs w:val="48"/>
          <w:lang w:eastAsia="fr-FR"/>
        </w:rPr>
        <w:fldChar w:fldCharType="begin"/>
      </w:r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48"/>
          <w:szCs w:val="48"/>
          <w:lang w:eastAsia="fr-FR"/>
        </w:rPr>
        <w:instrText xml:space="preserve"> HYPERLINK "http://swiss-igf.ch/" \o "Swiss Internet Governance Forum" </w:instrText>
      </w:r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48"/>
          <w:szCs w:val="48"/>
          <w:lang w:eastAsia="fr-FR"/>
        </w:rPr>
      </w:r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48"/>
          <w:szCs w:val="48"/>
          <w:lang w:eastAsia="fr-FR"/>
        </w:rPr>
        <w:fldChar w:fldCharType="separate"/>
      </w:r>
      <w:proofErr w:type="spellStart"/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39"/>
          <w:szCs w:val="39"/>
          <w:bdr w:val="none" w:sz="0" w:space="0" w:color="auto" w:frame="1"/>
          <w:lang w:eastAsia="fr-FR"/>
        </w:rPr>
        <w:t>Swiss</w:t>
      </w:r>
      <w:proofErr w:type="spellEnd"/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39"/>
          <w:szCs w:val="39"/>
          <w:bdr w:val="none" w:sz="0" w:space="0" w:color="auto" w:frame="1"/>
          <w:lang w:eastAsia="fr-FR"/>
        </w:rPr>
        <w:t xml:space="preserve"> Internet </w:t>
      </w:r>
      <w:proofErr w:type="spellStart"/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39"/>
          <w:szCs w:val="39"/>
          <w:bdr w:val="none" w:sz="0" w:space="0" w:color="auto" w:frame="1"/>
          <w:lang w:eastAsia="fr-FR"/>
        </w:rPr>
        <w:t>Governance</w:t>
      </w:r>
      <w:proofErr w:type="spellEnd"/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39"/>
          <w:szCs w:val="39"/>
          <w:bdr w:val="none" w:sz="0" w:space="0" w:color="auto" w:frame="1"/>
          <w:lang w:eastAsia="fr-FR"/>
        </w:rPr>
        <w:t xml:space="preserve"> Forum</w:t>
      </w:r>
      <w:r w:rsidRPr="00AC3BBB">
        <w:rPr>
          <w:rFonts w:ascii="Helvetica" w:eastAsia="Times New Roman" w:hAnsi="Helvetica" w:cs="Times New Roman"/>
          <w:b/>
          <w:bCs/>
          <w:color w:val="444444"/>
          <w:kern w:val="36"/>
          <w:sz w:val="48"/>
          <w:szCs w:val="48"/>
          <w:lang w:eastAsia="fr-FR"/>
        </w:rPr>
        <w:fldChar w:fldCharType="end"/>
      </w:r>
    </w:p>
    <w:p w:rsidR="00AC3BBB" w:rsidRPr="00AC3BBB" w:rsidRDefault="00AC3BBB" w:rsidP="00AC3BBB">
      <w:pPr>
        <w:shd w:val="clear" w:color="auto" w:fill="FFFFFF"/>
        <w:spacing w:line="21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hyperlink r:id="rId6" w:anchor="content" w:tooltip="Zum Inhalt springen" w:history="1">
        <w:proofErr w:type="spellStart"/>
        <w:r w:rsidRPr="00AC3BBB">
          <w:rPr>
            <w:rFonts w:ascii="Helvetica" w:eastAsia="Times New Roman" w:hAnsi="Helvetica" w:cs="Times New Roman"/>
            <w:color w:val="5E5E5E"/>
            <w:sz w:val="21"/>
            <w:szCs w:val="21"/>
            <w:u w:val="single"/>
            <w:bdr w:val="none" w:sz="0" w:space="0" w:color="auto" w:frame="1"/>
            <w:lang w:eastAsia="fr-FR"/>
          </w:rPr>
          <w:t>Zum</w:t>
        </w:r>
        <w:proofErr w:type="spellEnd"/>
        <w:r w:rsidRPr="00AC3BBB">
          <w:rPr>
            <w:rFonts w:ascii="Helvetica" w:eastAsia="Times New Roman" w:hAnsi="Helvetica" w:cs="Times New Roman"/>
            <w:color w:val="5E5E5E"/>
            <w:sz w:val="21"/>
            <w:szCs w:val="21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AC3BBB">
          <w:rPr>
            <w:rFonts w:ascii="Helvetica" w:eastAsia="Times New Roman" w:hAnsi="Helvetica" w:cs="Times New Roman"/>
            <w:color w:val="5E5E5E"/>
            <w:sz w:val="21"/>
            <w:szCs w:val="21"/>
            <w:u w:val="single"/>
            <w:bdr w:val="none" w:sz="0" w:space="0" w:color="auto" w:frame="1"/>
            <w:lang w:eastAsia="fr-FR"/>
          </w:rPr>
          <w:t>Inhalt</w:t>
        </w:r>
        <w:proofErr w:type="spellEnd"/>
        <w:r w:rsidRPr="00AC3BBB">
          <w:rPr>
            <w:rFonts w:ascii="Helvetica" w:eastAsia="Times New Roman" w:hAnsi="Helvetica" w:cs="Times New Roman"/>
            <w:color w:val="5E5E5E"/>
            <w:sz w:val="21"/>
            <w:szCs w:val="21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AC3BBB">
          <w:rPr>
            <w:rFonts w:ascii="Helvetica" w:eastAsia="Times New Roman" w:hAnsi="Helvetica" w:cs="Times New Roman"/>
            <w:color w:val="5E5E5E"/>
            <w:sz w:val="21"/>
            <w:szCs w:val="21"/>
            <w:u w:val="single"/>
            <w:bdr w:val="none" w:sz="0" w:space="0" w:color="auto" w:frame="1"/>
            <w:lang w:eastAsia="fr-FR"/>
          </w:rPr>
          <w:t>springen</w:t>
        </w:r>
        <w:proofErr w:type="spellEnd"/>
      </w:hyperlink>
    </w:p>
    <w:p w:rsidR="00AC3BBB" w:rsidRPr="00AC3BBB" w:rsidRDefault="00AC3BBB" w:rsidP="00AC3BBB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hyperlink r:id="rId7" w:history="1">
        <w:r w:rsidRPr="00AC3BBB">
          <w:rPr>
            <w:rFonts w:ascii="Helvetica" w:eastAsia="Times New Roman" w:hAnsi="Helvetica" w:cs="Times New Roman"/>
            <w:caps/>
            <w:color w:val="6A6A6A"/>
            <w:sz w:val="18"/>
            <w:szCs w:val="18"/>
            <w:bdr w:val="none" w:sz="0" w:space="0" w:color="auto" w:frame="1"/>
            <w:lang w:eastAsia="fr-FR"/>
          </w:rPr>
          <w:t>HOME</w:t>
        </w:r>
      </w:hyperlink>
    </w:p>
    <w:p w:rsidR="00AC3BBB" w:rsidRPr="00AC3BBB" w:rsidRDefault="00AC3BBB" w:rsidP="00AC3BBB">
      <w:pPr>
        <w:pBdr>
          <w:top w:val="single" w:sz="6" w:space="0" w:color="EDEDED"/>
          <w:bottom w:val="single" w:sz="6" w:space="0" w:color="EDEDED"/>
        </w:pBdr>
        <w:shd w:val="clear" w:color="auto" w:fill="FFFFFF"/>
        <w:spacing w:line="21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 </w:t>
      </w:r>
    </w:p>
    <w:p w:rsidR="00AC3BBB" w:rsidRPr="00AC3BBB" w:rsidRDefault="00AC3BBB" w:rsidP="00AC3BBB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hyperlink r:id="rId8" w:history="1">
        <w:r w:rsidRPr="00AC3BBB">
          <w:rPr>
            <w:rFonts w:ascii="Helvetica" w:eastAsia="Times New Roman" w:hAnsi="Helvetica" w:cs="Times New Roman"/>
            <w:caps/>
            <w:color w:val="6A6A6A"/>
            <w:sz w:val="18"/>
            <w:szCs w:val="18"/>
            <w:bdr w:val="none" w:sz="0" w:space="0" w:color="auto" w:frame="1"/>
            <w:lang w:eastAsia="fr-FR"/>
          </w:rPr>
          <w:t>ABOUT</w:t>
        </w:r>
      </w:hyperlink>
    </w:p>
    <w:p w:rsidR="00AC3BBB" w:rsidRPr="00AC3BBB" w:rsidRDefault="00AC3BBB" w:rsidP="00AC3BBB">
      <w:pPr>
        <w:pBdr>
          <w:top w:val="single" w:sz="6" w:space="0" w:color="EDEDED"/>
          <w:bottom w:val="single" w:sz="6" w:space="0" w:color="EDEDED"/>
        </w:pBdr>
        <w:shd w:val="clear" w:color="auto" w:fill="FFFFFF"/>
        <w:spacing w:line="21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 </w:t>
      </w:r>
    </w:p>
    <w:p w:rsidR="00AC3BBB" w:rsidRPr="00AC3BBB" w:rsidRDefault="00AC3BBB" w:rsidP="00AC3BBB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hyperlink r:id="rId9" w:history="1">
        <w:r w:rsidRPr="00AC3BBB">
          <w:rPr>
            <w:rFonts w:ascii="Helvetica" w:eastAsia="Times New Roman" w:hAnsi="Helvetica" w:cs="Times New Roman"/>
            <w:b/>
            <w:bCs/>
            <w:caps/>
            <w:color w:val="636363"/>
            <w:sz w:val="18"/>
            <w:szCs w:val="18"/>
            <w:bdr w:val="none" w:sz="0" w:space="0" w:color="auto" w:frame="1"/>
            <w:lang w:eastAsia="fr-FR"/>
          </w:rPr>
          <w:t>PROGRAMM</w:t>
        </w:r>
      </w:hyperlink>
    </w:p>
    <w:p w:rsidR="00AC3BBB" w:rsidRPr="00AC3BBB" w:rsidRDefault="00AC3BBB" w:rsidP="00AC3BBB">
      <w:pPr>
        <w:pBdr>
          <w:top w:val="single" w:sz="6" w:space="0" w:color="EDEDED"/>
          <w:bottom w:val="single" w:sz="6" w:space="0" w:color="EDEDED"/>
        </w:pBdr>
        <w:shd w:val="clear" w:color="auto" w:fill="FFFFFF"/>
        <w:spacing w:line="21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 </w:t>
      </w:r>
    </w:p>
    <w:p w:rsidR="00AC3BBB" w:rsidRPr="00AC3BBB" w:rsidRDefault="00AC3BBB" w:rsidP="00AC3BBB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hyperlink r:id="rId10" w:history="1">
        <w:r w:rsidRPr="00AC3BBB">
          <w:rPr>
            <w:rFonts w:ascii="Helvetica" w:eastAsia="Times New Roman" w:hAnsi="Helvetica" w:cs="Times New Roman"/>
            <w:caps/>
            <w:color w:val="6A6A6A"/>
            <w:sz w:val="18"/>
            <w:szCs w:val="18"/>
            <w:bdr w:val="none" w:sz="0" w:space="0" w:color="auto" w:frame="1"/>
            <w:lang w:eastAsia="fr-FR"/>
          </w:rPr>
          <w:t>ANMELDUNG</w:t>
        </w:r>
      </w:hyperlink>
    </w:p>
    <w:p w:rsidR="00AC3BBB" w:rsidRPr="00AC3BBB" w:rsidRDefault="00AC3BBB" w:rsidP="00AC3BBB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fr-FR"/>
        </w:rPr>
      </w:pPr>
      <w:hyperlink r:id="rId11" w:history="1">
        <w:r w:rsidRPr="00AC3BBB">
          <w:rPr>
            <w:rFonts w:ascii="Helvetica" w:eastAsia="Times New Roman" w:hAnsi="Helvetica" w:cs="Times New Roman"/>
            <w:caps/>
            <w:color w:val="6A6A6A"/>
            <w:sz w:val="18"/>
            <w:szCs w:val="18"/>
            <w:bdr w:val="none" w:sz="0" w:space="0" w:color="auto" w:frame="1"/>
            <w:shd w:val="clear" w:color="auto" w:fill="EFEFEF"/>
            <w:lang w:eastAsia="fr-FR"/>
          </w:rPr>
          <w:t>BISHERIGE ANMELDUNGEN</w:t>
        </w:r>
      </w:hyperlink>
    </w:p>
    <w:p w:rsidR="00AC3BBB" w:rsidRPr="00AC3BBB" w:rsidRDefault="00AC3BBB" w:rsidP="00AC3BBB">
      <w:pPr>
        <w:shd w:val="clear" w:color="auto" w:fill="FFFFFF"/>
        <w:spacing w:line="21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noProof/>
          <w:color w:val="21759B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12192000" cy="3175000"/>
            <wp:effectExtent l="0" t="0" r="0" b="0"/>
            <wp:docPr id="1" name="Image 1" descr="wiss Internet Governance For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s Internet Governance For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BB" w:rsidRPr="00AC3BBB" w:rsidRDefault="00AC3BBB" w:rsidP="00AC3BBB">
      <w:pPr>
        <w:shd w:val="clear" w:color="auto" w:fill="FFFFFF"/>
        <w:textAlignment w:val="baseline"/>
        <w:outlineLvl w:val="0"/>
        <w:rPr>
          <w:rFonts w:ascii="Helvetica" w:eastAsia="Times New Roman" w:hAnsi="Helvetica" w:cs="Times New Roman"/>
          <w:color w:val="444444"/>
          <w:kern w:val="36"/>
          <w:sz w:val="48"/>
          <w:szCs w:val="48"/>
          <w:lang w:eastAsia="fr-FR"/>
        </w:rPr>
      </w:pPr>
      <w:proofErr w:type="spellStart"/>
      <w:r w:rsidRPr="00AC3BBB">
        <w:rPr>
          <w:rFonts w:ascii="Helvetica" w:eastAsia="Times New Roman" w:hAnsi="Helvetica" w:cs="Times New Roman"/>
          <w:color w:val="444444"/>
          <w:kern w:val="36"/>
          <w:sz w:val="48"/>
          <w:szCs w:val="48"/>
          <w:lang w:eastAsia="fr-FR"/>
        </w:rPr>
        <w:t>Programm</w:t>
      </w:r>
      <w:proofErr w:type="spellEnd"/>
    </w:p>
    <w:p w:rsidR="00AC3BBB" w:rsidRPr="00AC3BBB" w:rsidRDefault="00AC3BBB" w:rsidP="00AC3BBB">
      <w:pPr>
        <w:shd w:val="clear" w:color="auto" w:fill="FFFFFF"/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Draft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– </w:t>
      </w:r>
      <w:proofErr w:type="spellStart"/>
      <w:r w:rsidRPr="00AC3BBB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fr-FR"/>
        </w:rPr>
        <w:t>Programmentwurf</w:t>
      </w:r>
      <w:proofErr w:type="spellEnd"/>
      <w:r w:rsidRPr="00AC3BBB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fr-FR"/>
        </w:rPr>
        <w:t>Swiss</w:t>
      </w:r>
      <w:proofErr w:type="spellEnd"/>
      <w:r w:rsidRPr="00AC3BBB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fr-FR"/>
        </w:rPr>
        <w:t>-IGF 2015</w:t>
      </w:r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 – 19. Mai in Bern</w:t>
      </w:r>
    </w:p>
    <w:tbl>
      <w:tblPr>
        <w:tblW w:w="936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2564"/>
        <w:gridCol w:w="2564"/>
        <w:gridCol w:w="2543"/>
      </w:tblGrid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08:30 – 09:00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Besammlung</w:t>
            </w:r>
            <w:proofErr w:type="spellEnd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Begrüssungskaffee</w:t>
            </w:r>
            <w:proofErr w:type="spellEnd"/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09:00 – 09:30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Begrüssung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Eröffnung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mit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Philipp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Metzger,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Direktor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BAKOM</w:t>
            </w:r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Einführung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 xml:space="preserve"> 1</w:t>
            </w: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Das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Internet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Governance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Multistakeholder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Modell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Christian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Grasser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Asut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Einführung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 xml:space="preserve"> 2</w:t>
            </w: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lastRenderedPageBreak/>
              <w:t>Zwischen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Global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Lokal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Kontext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Zuordnungen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mit Markus Kummer, ICANN-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Direktor</w:t>
            </w:r>
            <w:proofErr w:type="spellEnd"/>
          </w:p>
          <w:p w:rsidR="00AC3BBB" w:rsidRPr="00AC3BBB" w:rsidRDefault="00AC3BBB" w:rsidP="00AC3BBB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Moderation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: Wolf Ludwig</w:t>
            </w:r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lastRenderedPageBreak/>
              <w:t>09:30 – 10:30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Plenum 1</w:t>
            </w:r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Wem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kann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ich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nach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Snowden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im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Internet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noch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trauen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?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Wie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betreffen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uns die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Enthüllungen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als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Nutzer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?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Was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sind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Schweizer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Besonderheiten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Chancen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?</w:t>
            </w: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Schlüsselbegriffe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dieses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Plenums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sind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Vertrauen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Nutzer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in der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nach-Swoden-Ära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wo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Überwachung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Missbrauch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von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persönlichen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Daten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Verlust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jeglicher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Privatsphäreoder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informationeller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Selbstbestimmung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allgegenwärtig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scheinen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. Welche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Konsequenzen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Nutzer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sind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notwendig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?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Ist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Empowerment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der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einzige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Ausweg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?</w:t>
            </w:r>
          </w:p>
          <w:p w:rsidR="00AC3BBB" w:rsidRPr="00AC3BBB" w:rsidRDefault="00AC3BBB" w:rsidP="00AC3BBB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Inputs: Balthasar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Glaettli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Nationalrat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sowie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Prof. Dr. Ernst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Hafen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, ETH Zürich</w:t>
            </w: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br/>
              <w:t>Ko-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Moderatoren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: Thomas Schneider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Raymond Morel</w:t>
            </w:r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10:30 – 11:00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Kaffeepause</w:t>
            </w:r>
            <w:proofErr w:type="spellEnd"/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11:00 – 12:30</w:t>
            </w:r>
          </w:p>
        </w:tc>
        <w:tc>
          <w:tcPr>
            <w:tcW w:w="25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Parallel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-Workshop 1</w:t>
            </w:r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  <w:t xml:space="preserve">Open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Big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data –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alles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Data?</w:t>
            </w: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Chancen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Risiken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Hindernisse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Perspektiven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beim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Umgang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mit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Daten</w:t>
            </w:r>
            <w:proofErr w:type="spellEnd"/>
          </w:p>
          <w:p w:rsidR="00AC3BBB" w:rsidRPr="00AC3BBB" w:rsidRDefault="00AC3BBB" w:rsidP="00AC3BBB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Ko-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Moderatoren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: André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Golliez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Matthias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Stürmer</w:t>
            </w:r>
            <w:proofErr w:type="spellEnd"/>
          </w:p>
        </w:tc>
        <w:tc>
          <w:tcPr>
            <w:tcW w:w="25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Parallel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-Workshop 2</w:t>
            </w:r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  <w:t>.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swiss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–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eine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Einführung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</w:p>
          <w:p w:rsidR="00AC3BBB" w:rsidRPr="00AC3BBB" w:rsidRDefault="00AC3BBB" w:rsidP="00AC3BBB">
            <w:pPr>
              <w:spacing w:beforeAutospacing="1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Ko-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Moderatoren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: Werner Staub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Stephane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Bondallaz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AC3BBB" w:rsidRPr="00AC3BBB" w:rsidRDefault="00AC3BBB" w:rsidP="00AC3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12:30 – 13:30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Mittagspause</w:t>
            </w:r>
            <w:proofErr w:type="spellEnd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(</w:t>
            </w: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Stehlunch</w:t>
            </w:r>
            <w:proofErr w:type="spellEnd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)</w:t>
            </w:r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13:30 – 15:00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Plenum 2</w:t>
            </w:r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Sicherheit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Providerhaftung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Vorratsdatenspeicherung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Konsumentenschutz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AGBs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—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wo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liegen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die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jeweiligen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Verantwortungen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?</w:t>
            </w: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Das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Spannungsverhältnis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zwischen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proklamierter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Sicherheit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Freiheit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ist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ein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schwieriges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wo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esdarum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geht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eine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Balance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zwischen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Massnahmen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Gesetzen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sowie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bewährten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Grundrechten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zufinden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Sollen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Internet-Service-Provider (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ISPs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)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Hilfsdienste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der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Strafverfolgung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übernehmen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?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Kann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verdachtsunabhängige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Vorratsdatenspeicherung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tatsächlich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mehr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Sicherheit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gewährleisten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? Allgemeine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Geschäftsbedingungen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AGBs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)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von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Dienstleistern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sind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häufig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undurchsichtig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bieten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kaum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wirksamen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Schutz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Konsumenten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Wo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liegen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die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jeweiligen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Verantwortungen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Staat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Gesellschaft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Wirtschaft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Konsumenten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/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Nutzer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?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Schlüsselbegriff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dieses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Plenums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ist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Verantwortung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“.</w:t>
            </w:r>
          </w:p>
          <w:p w:rsidR="00AC3BBB" w:rsidRPr="00AC3BBB" w:rsidRDefault="00AC3BBB" w:rsidP="00AC3BBB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Inputs: Adrian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Koster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, MELANI; Daniel Boos, Digitale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Allmend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br/>
              <w:t>Ko-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Moderatoren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: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Hartwig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Thomas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Rolf H. Weber</w:t>
            </w:r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15:30 – 16:00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Kaffeepause</w:t>
            </w:r>
            <w:proofErr w:type="spellEnd"/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16:00 – 17:00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b/>
                <w:bCs/>
                <w:color w:val="993300"/>
                <w:sz w:val="18"/>
                <w:szCs w:val="18"/>
                <w:bdr w:val="none" w:sz="0" w:space="0" w:color="auto" w:frame="1"/>
                <w:lang w:eastAsia="fr-FR"/>
              </w:rPr>
              <w:t>Plenum 3</w:t>
            </w:r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Zugang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zu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Inhalten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Diensten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– welche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Hürden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Barrieren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sind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zu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überwinden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?</w:t>
            </w: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br/>
              <w:t>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Accessibility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ist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ein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Schlüsselbegriff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in der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Netzpolitik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Doch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Zugang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alle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ist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oft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noch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mehr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Wunsch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denn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Wirklichkeit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Zum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einen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gibt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es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weiterhin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Barrieren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verschiedene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Bevölkerungsgruppen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(u. a.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behinderte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Menschen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), des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weiteren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gefährden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Restriktionen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des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Urheberrechts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den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offenen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Zugang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Inhalten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(z. B. in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Wissenschaft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Forschung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).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Beim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Zugang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Diensten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gilt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viele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Netz-Neutralität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als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Voraussetzung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. Welche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Grundlagen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sind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einen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„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Zugang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alle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“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notwendig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wie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kann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diese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Vision in der Praxis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umgesetzt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werden</w:t>
            </w:r>
            <w:proofErr w:type="spellEnd"/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?</w:t>
            </w:r>
          </w:p>
          <w:p w:rsidR="00AC3BBB" w:rsidRPr="00AC3BBB" w:rsidRDefault="00AC3BBB" w:rsidP="00AC3BBB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Inputs: Bernhard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Heinser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Stiftung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Zugang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für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alle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; Emanuel Meyer, IPI; Markus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Riesch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, EBGB</w:t>
            </w: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br/>
              <w:t>Ko-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Moderatoren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: Bernie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Hoeneisen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Charlotte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Sgier</w:t>
            </w:r>
            <w:proofErr w:type="spellEnd"/>
          </w:p>
        </w:tc>
      </w:tr>
      <w:tr w:rsidR="00AC3BBB" w:rsidRPr="00AC3BBB" w:rsidTr="00AC3BBB"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  <w:t>17:00 – 17:45</w:t>
            </w:r>
          </w:p>
        </w:tc>
        <w:tc>
          <w:tcPr>
            <w:tcW w:w="754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C3BBB" w:rsidRPr="00AC3BBB" w:rsidRDefault="00AC3BBB" w:rsidP="00AC3BBB">
            <w:pPr>
              <w:spacing w:line="480" w:lineRule="auto"/>
              <w:rPr>
                <w:rFonts w:ascii="Times" w:eastAsia="Times New Roman" w:hAnsi="Times" w:cs="Times New Roman"/>
                <w:color w:val="757575"/>
                <w:sz w:val="18"/>
                <w:szCs w:val="18"/>
                <w:lang w:eastAsia="fr-FR"/>
              </w:rPr>
            </w:pP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Wrap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-up /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Zusammenfassung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/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Wie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weiter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? – </w:t>
            </w:r>
            <w:proofErr w:type="spellStart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>Botschaft</w:t>
            </w:r>
            <w:proofErr w:type="spellEnd"/>
            <w:r w:rsidRPr="00AC3BBB">
              <w:rPr>
                <w:rFonts w:ascii="Times" w:eastAsia="Times New Roman" w:hAnsi="Times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fr-FR"/>
              </w:rPr>
              <w:t xml:space="preserve"> ans globale IGF</w:t>
            </w:r>
          </w:p>
          <w:p w:rsidR="00AC3BBB" w:rsidRPr="00AC3BBB" w:rsidRDefault="00AC3BBB" w:rsidP="00AC3BBB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</w:pPr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Input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zum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globalen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IGF: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Chengetai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Masango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br/>
              <w:t>Ko-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Moderation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: Thomas Schneider </w:t>
            </w:r>
            <w:proofErr w:type="spellStart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>und</w:t>
            </w:r>
            <w:proofErr w:type="spellEnd"/>
            <w:r w:rsidRPr="00AC3BBB">
              <w:rPr>
                <w:rFonts w:ascii="Times" w:hAnsi="Times" w:cs="Times New Roman"/>
                <w:color w:val="757575"/>
                <w:sz w:val="18"/>
                <w:szCs w:val="18"/>
                <w:lang w:eastAsia="fr-FR"/>
              </w:rPr>
              <w:t xml:space="preserve"> Wolf Ludwig</w:t>
            </w:r>
          </w:p>
        </w:tc>
      </w:tr>
    </w:tbl>
    <w:p w:rsidR="00AC3BBB" w:rsidRPr="00AC3BBB" w:rsidRDefault="00AC3BBB" w:rsidP="00AC3BBB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Das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Swiss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-IGF 2015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wird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in den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Sprachen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Deutsch,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Französisch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und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Englisch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durchgeführt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.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Anmeldungen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sind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ab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sofort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möglich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.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Für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allfällige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Fragen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steht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Ihnen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der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Koordinator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Wolf Ludwig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zur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Verfügung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.</w:t>
      </w:r>
    </w:p>
    <w:p w:rsidR="00AC3BBB" w:rsidRPr="00AC3BBB" w:rsidRDefault="00AC3BBB" w:rsidP="00AC3BBB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Hinweise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zu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Format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und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Durchführung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:</w:t>
      </w:r>
    </w:p>
    <w:p w:rsidR="00AC3BBB" w:rsidRPr="00AC3BBB" w:rsidRDefault="00AC3BBB" w:rsidP="00AC3B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Keine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Panels (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Teilung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in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Experten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und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Publikum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) in der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herkömmlichen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Form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,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womit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wir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bereits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2013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gute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Erfahrungen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machten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,</w:t>
      </w:r>
    </w:p>
    <w:p w:rsidR="00AC3BBB" w:rsidRPr="00AC3BBB" w:rsidRDefault="00AC3BBB" w:rsidP="00AC3B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alle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Sessions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werden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von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Ko-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ModeratorInnen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geleitet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und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animiert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(mit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mobilen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Mikrophonen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),</w:t>
      </w:r>
    </w:p>
    <w:p w:rsidR="00AC3BBB" w:rsidRPr="00AC3BBB" w:rsidRDefault="00AC3BBB" w:rsidP="00AC3B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Input-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Statements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(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etwa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5 Min.)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von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eingeladenen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und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gebrieften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Sachverständigen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werden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vom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Saal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als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Einführung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zum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jeweiligen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Thema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präsentiert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,</w:t>
      </w:r>
    </w:p>
    <w:p w:rsidR="00AC3BBB" w:rsidRPr="00AC3BBB" w:rsidRDefault="00AC3BBB" w:rsidP="00AC3B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Erfahrene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Ko-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ModeratorInnen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sind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dafür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verantwortlich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,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so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früh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wie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möglich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eine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interaktive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Debatte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zu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gewährleisten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,</w:t>
      </w:r>
    </w:p>
    <w:p w:rsidR="00AC3BBB" w:rsidRPr="00AC3BBB" w:rsidRDefault="00AC3BBB" w:rsidP="00AC3B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Schriftliche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Statements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(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auch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länger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) der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Sachverständigen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können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eingebracht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,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vorab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fotokopiert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und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verteilt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werden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(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wäre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auch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für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DolmetscherInnen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nützlich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),</w:t>
      </w:r>
    </w:p>
    <w:p w:rsidR="00AC3BBB" w:rsidRPr="00AC3BBB" w:rsidRDefault="00AC3BBB" w:rsidP="00AC3B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</w:pP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Auf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einem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Info-Table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im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Foyer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können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weitere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Materialien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ausgelegt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werden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(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weitere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 xml:space="preserve"> </w:t>
      </w:r>
      <w:proofErr w:type="spellStart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Hintergrundinfos</w:t>
      </w:r>
      <w:proofErr w:type="spellEnd"/>
      <w:r w:rsidRPr="00AC3BBB">
        <w:rPr>
          <w:rFonts w:ascii="Helvetica" w:eastAsia="Times New Roman" w:hAnsi="Helvetica" w:cs="Times New Roman"/>
          <w:color w:val="444444"/>
          <w:sz w:val="21"/>
          <w:szCs w:val="21"/>
          <w:lang w:eastAsia="fr-FR"/>
        </w:rPr>
        <w:t>, Flyers etc.).</w:t>
      </w:r>
    </w:p>
    <w:p w:rsidR="00AC3BBB" w:rsidRPr="00AC3BBB" w:rsidRDefault="00AC3BBB" w:rsidP="00AC3BBB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fr-FR"/>
        </w:rPr>
      </w:pPr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Neuchâtel, 15. </w:t>
      </w:r>
      <w:proofErr w:type="spellStart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>März</w:t>
      </w:r>
      <w:proofErr w:type="spellEnd"/>
      <w:r w:rsidRPr="00AC3BBB">
        <w:rPr>
          <w:rFonts w:ascii="Helvetica" w:hAnsi="Helvetica" w:cs="Times New Roman"/>
          <w:color w:val="444444"/>
          <w:sz w:val="21"/>
          <w:szCs w:val="21"/>
          <w:lang w:eastAsia="fr-FR"/>
        </w:rPr>
        <w:t xml:space="preserve"> 2015 / WL</w:t>
      </w:r>
    </w:p>
    <w:p w:rsidR="00AC3BBB" w:rsidRPr="00AC3BBB" w:rsidRDefault="00AC3BBB" w:rsidP="00AC3BBB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r-FR"/>
        </w:rPr>
      </w:pPr>
      <w:hyperlink r:id="rId13" w:history="1">
        <w:r w:rsidRPr="00AC3BBB">
          <w:rPr>
            <w:rFonts w:ascii="Verdana" w:eastAsia="Times New Roman" w:hAnsi="Verdana" w:cs="Times New Roman"/>
            <w:color w:val="444444"/>
            <w:sz w:val="17"/>
            <w:szCs w:val="17"/>
            <w:u w:val="single"/>
            <w:bdr w:val="single" w:sz="2" w:space="2" w:color="CDCDCD" w:frame="1"/>
            <w:shd w:val="clear" w:color="auto" w:fill="FFFFFF"/>
            <w:lang w:eastAsia="fr-FR"/>
          </w:rPr>
          <w:t>English</w:t>
        </w:r>
      </w:hyperlink>
    </w:p>
    <w:p w:rsidR="00AC3BBB" w:rsidRPr="00AC3BBB" w:rsidRDefault="00AC3BBB" w:rsidP="00AC3BBB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r-FR"/>
        </w:rPr>
      </w:pPr>
      <w:hyperlink r:id="rId14" w:history="1">
        <w:r w:rsidRPr="00AC3BBB">
          <w:rPr>
            <w:rFonts w:ascii="Verdana" w:eastAsia="Times New Roman" w:hAnsi="Verdana" w:cs="Times New Roman"/>
            <w:color w:val="444444"/>
            <w:sz w:val="17"/>
            <w:szCs w:val="17"/>
            <w:u w:val="single"/>
            <w:bdr w:val="single" w:sz="2" w:space="2" w:color="CDCDCD" w:frame="1"/>
            <w:shd w:val="clear" w:color="auto" w:fill="FFFFFF"/>
            <w:lang w:eastAsia="fr-FR"/>
          </w:rPr>
          <w:t>Deutsch</w:t>
        </w:r>
      </w:hyperlink>
    </w:p>
    <w:p w:rsidR="009B444B" w:rsidRPr="00AC3BBB" w:rsidRDefault="00AC3BBB" w:rsidP="00AC3BBB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fr-FR"/>
        </w:rPr>
      </w:pPr>
      <w:hyperlink r:id="rId15" w:history="1">
        <w:r w:rsidRPr="00AC3BBB">
          <w:rPr>
            <w:rFonts w:ascii="Verdana" w:eastAsia="Times New Roman" w:hAnsi="Verdana" w:cs="Times New Roman"/>
            <w:color w:val="444444"/>
            <w:sz w:val="17"/>
            <w:szCs w:val="17"/>
            <w:u w:val="single"/>
            <w:bdr w:val="single" w:sz="2" w:space="2" w:color="CDCDCD" w:frame="1"/>
            <w:shd w:val="clear" w:color="auto" w:fill="FFFFFF"/>
            <w:lang w:eastAsia="fr-FR"/>
          </w:rPr>
          <w:t>Français</w:t>
        </w:r>
      </w:hyperlink>
      <w:bookmarkStart w:id="0" w:name="_GoBack"/>
      <w:bookmarkEnd w:id="0"/>
    </w:p>
    <w:sectPr w:rsidR="009B444B" w:rsidRPr="00AC3BB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BD2"/>
    <w:multiLevelType w:val="multilevel"/>
    <w:tmpl w:val="761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E4B3B"/>
    <w:multiLevelType w:val="multilevel"/>
    <w:tmpl w:val="952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56828"/>
    <w:multiLevelType w:val="multilevel"/>
    <w:tmpl w:val="337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90001"/>
    <w:multiLevelType w:val="multilevel"/>
    <w:tmpl w:val="CA2E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BB"/>
    <w:rsid w:val="000371BB"/>
    <w:rsid w:val="005359DB"/>
    <w:rsid w:val="00706F43"/>
    <w:rsid w:val="009446C1"/>
    <w:rsid w:val="009B444B"/>
    <w:rsid w:val="00AC3BB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C3B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3B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C3BBB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3BBB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C3BB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AC3BBB"/>
  </w:style>
  <w:style w:type="paragraph" w:styleId="NormalWeb">
    <w:name w:val="Normal (Web)"/>
    <w:basedOn w:val="Normal"/>
    <w:uiPriority w:val="99"/>
    <w:unhideWhenUsed/>
    <w:rsid w:val="00AC3B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C3BBB"/>
    <w:rPr>
      <w:b/>
      <w:bCs/>
    </w:rPr>
  </w:style>
  <w:style w:type="character" w:styleId="Accentuation">
    <w:name w:val="Emphasis"/>
    <w:basedOn w:val="Policepardfaut"/>
    <w:uiPriority w:val="20"/>
    <w:qFormat/>
    <w:rsid w:val="00AC3B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C3B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3B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C3BBB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3BBB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C3BB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AC3BBB"/>
  </w:style>
  <w:style w:type="paragraph" w:styleId="NormalWeb">
    <w:name w:val="Normal (Web)"/>
    <w:basedOn w:val="Normal"/>
    <w:uiPriority w:val="99"/>
    <w:unhideWhenUsed/>
    <w:rsid w:val="00AC3B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C3BBB"/>
    <w:rPr>
      <w:b/>
      <w:bCs/>
    </w:rPr>
  </w:style>
  <w:style w:type="character" w:styleId="Accentuation">
    <w:name w:val="Emphasis"/>
    <w:basedOn w:val="Policepardfaut"/>
    <w:uiPriority w:val="20"/>
    <w:qFormat/>
    <w:rsid w:val="00AC3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486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wiss-igf.ch/anmeldungen/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swiss-igf.ch/en/programme/" TargetMode="External"/><Relationship Id="rId14" Type="http://schemas.openxmlformats.org/officeDocument/2006/relationships/hyperlink" Target="http://swiss-igf.ch/programm/" TargetMode="External"/><Relationship Id="rId15" Type="http://schemas.openxmlformats.org/officeDocument/2006/relationships/hyperlink" Target="http://swiss-igf.ch/fr/programme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wiss-igf.ch/programm/" TargetMode="External"/><Relationship Id="rId7" Type="http://schemas.openxmlformats.org/officeDocument/2006/relationships/hyperlink" Target="http://swiss-igf.ch/" TargetMode="External"/><Relationship Id="rId8" Type="http://schemas.openxmlformats.org/officeDocument/2006/relationships/hyperlink" Target="http://swiss-igf.ch/willkommen/" TargetMode="External"/><Relationship Id="rId9" Type="http://schemas.openxmlformats.org/officeDocument/2006/relationships/hyperlink" Target="http://swiss-igf.ch/programm/" TargetMode="External"/><Relationship Id="rId10" Type="http://schemas.openxmlformats.org/officeDocument/2006/relationships/hyperlink" Target="http://swiss-igf.ch/anmeldun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4225</Characters>
  <Application>Microsoft Macintosh Word</Application>
  <DocSecurity>0</DocSecurity>
  <Lines>35</Lines>
  <Paragraphs>9</Paragraphs>
  <ScaleCrop>false</ScaleCrop>
  <Company>Personnel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2015-06-06T14:30:00Z</dcterms:created>
  <dcterms:modified xsi:type="dcterms:W3CDTF">2015-06-06T14:33:00Z</dcterms:modified>
</cp:coreProperties>
</file>