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b/>
          <w:bCs/>
          <w:color w:val="000000"/>
          <w:lang w:val="fr-FR"/>
        </w:rPr>
      </w:pPr>
      <w:r>
        <w:rPr>
          <w:rFonts w:ascii="Spectral-Regular" w:hAnsi="Spectral-Regular" w:cs="Spectral-Regular"/>
          <w:b/>
          <w:bCs/>
          <w:color w:val="000000"/>
          <w:lang w:val="fr-FR"/>
        </w:rPr>
        <w:t>Nouveaux cahiers de la recherche en éducation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b/>
          <w:bCs/>
          <w:i/>
          <w:iCs/>
          <w:color w:val="818181"/>
          <w:sz w:val="28"/>
          <w:szCs w:val="28"/>
          <w:lang w:val="fr-FR"/>
        </w:rPr>
      </w:pPr>
      <w:bookmarkStart w:id="0" w:name="_GoBack"/>
      <w:r>
        <w:rPr>
          <w:rFonts w:ascii="Spectral-Regular" w:hAnsi="Spectral-Regular" w:cs="Spectral-Regular"/>
          <w:b/>
          <w:bCs/>
          <w:color w:val="818181"/>
          <w:sz w:val="28"/>
          <w:szCs w:val="28"/>
          <w:lang w:val="fr-FR"/>
        </w:rPr>
        <w:t xml:space="preserve">Tardif, M. et Desbiens, J.-F. (2014). </w:t>
      </w:r>
      <w:r>
        <w:rPr>
          <w:rFonts w:ascii="Spectral-Regular" w:hAnsi="Spectral-Regular" w:cs="Spectral-Regular"/>
          <w:b/>
          <w:bCs/>
          <w:i/>
          <w:iCs/>
          <w:color w:val="818181"/>
          <w:sz w:val="28"/>
          <w:szCs w:val="28"/>
          <w:lang w:val="fr-FR"/>
        </w:rPr>
        <w:t>La vogue des compétences dans la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b/>
          <w:bCs/>
          <w:color w:val="818181"/>
          <w:sz w:val="28"/>
          <w:szCs w:val="28"/>
          <w:lang w:val="fr-FR"/>
        </w:rPr>
      </w:pPr>
      <w:r>
        <w:rPr>
          <w:rFonts w:ascii="Spectral-Regular" w:hAnsi="Spectral-Regular" w:cs="Spectral-Regular"/>
          <w:b/>
          <w:bCs/>
          <w:i/>
          <w:iCs/>
          <w:color w:val="818181"/>
          <w:sz w:val="28"/>
          <w:szCs w:val="28"/>
          <w:lang w:val="fr-FR"/>
        </w:rPr>
        <w:t>formation des enseignants: bilan critique et perspectives d’avenir</w:t>
      </w:r>
      <w:r>
        <w:rPr>
          <w:rFonts w:ascii="Spectral-Regular" w:hAnsi="Spectral-Regular" w:cs="Spectral-Regular"/>
          <w:b/>
          <w:bCs/>
          <w:color w:val="818181"/>
          <w:sz w:val="28"/>
          <w:szCs w:val="28"/>
          <w:lang w:val="fr-FR"/>
        </w:rPr>
        <w:t>. Québec: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b/>
          <w:bCs/>
          <w:color w:val="818181"/>
          <w:sz w:val="28"/>
          <w:szCs w:val="28"/>
          <w:lang w:val="fr-FR"/>
        </w:rPr>
      </w:pPr>
      <w:r>
        <w:rPr>
          <w:rFonts w:ascii="Spectral-Regular" w:hAnsi="Spectral-Regular" w:cs="Spectral-Regular"/>
          <w:b/>
          <w:bCs/>
          <w:color w:val="818181"/>
          <w:sz w:val="28"/>
          <w:szCs w:val="28"/>
          <w:lang w:val="fr-FR"/>
        </w:rPr>
        <w:t>Presses de l’Université Laval</w:t>
      </w:r>
    </w:p>
    <w:bookmarkEnd w:id="0"/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Jonathan Chevrier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6"/>
          <w:szCs w:val="16"/>
          <w:lang w:val="fr-FR"/>
        </w:rPr>
      </w:pPr>
      <w:r>
        <w:rPr>
          <w:rFonts w:ascii="Spectral-Regular" w:hAnsi="Spectral-Regular" w:cs="Spectral-Regular"/>
          <w:color w:val="000000"/>
          <w:sz w:val="16"/>
          <w:szCs w:val="16"/>
          <w:lang w:val="fr-FR"/>
        </w:rPr>
        <w:t>Lire et écrire : les liens école-familles-communautés en contextes pluriels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6"/>
          <w:szCs w:val="16"/>
          <w:lang w:val="fr-FR"/>
        </w:rPr>
      </w:pPr>
      <w:r>
        <w:rPr>
          <w:rFonts w:ascii="Spectral-Regular" w:hAnsi="Spectral-Regular" w:cs="Spectral-Regular"/>
          <w:color w:val="000000"/>
          <w:sz w:val="16"/>
          <w:szCs w:val="16"/>
          <w:lang w:val="fr-FR"/>
        </w:rPr>
        <w:t>Volume 17, numéro 2, 2014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FF4242"/>
          <w:sz w:val="16"/>
          <w:szCs w:val="16"/>
          <w:lang w:val="fr-FR"/>
        </w:rPr>
      </w:pPr>
      <w:r>
        <w:rPr>
          <w:rFonts w:ascii="Spectral-Regular" w:hAnsi="Spectral-Regular" w:cs="Spectral-Regular"/>
          <w:color w:val="000000"/>
          <w:sz w:val="16"/>
          <w:szCs w:val="16"/>
          <w:lang w:val="fr-FR"/>
        </w:rPr>
        <w:t xml:space="preserve">URI : </w:t>
      </w:r>
      <w:r>
        <w:rPr>
          <w:rFonts w:ascii="Spectral-Regular" w:hAnsi="Spectral-Regular" w:cs="Spectral-Regular"/>
          <w:color w:val="FF4242"/>
          <w:sz w:val="16"/>
          <w:szCs w:val="16"/>
          <w:lang w:val="fr-FR"/>
        </w:rPr>
        <w:t>https://id.erudit.org/iderudit/1030892ar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FF4242"/>
          <w:sz w:val="16"/>
          <w:szCs w:val="16"/>
          <w:lang w:val="fr-FR"/>
        </w:rPr>
      </w:pPr>
      <w:r>
        <w:rPr>
          <w:rFonts w:ascii="Spectral-Regular" w:hAnsi="Spectral-Regular" w:cs="Spectral-Regular"/>
          <w:color w:val="000000"/>
          <w:sz w:val="16"/>
          <w:szCs w:val="16"/>
          <w:lang w:val="fr-FR"/>
        </w:rPr>
        <w:t xml:space="preserve">DOI : </w:t>
      </w:r>
      <w:r>
        <w:rPr>
          <w:rFonts w:ascii="Spectral-Regular" w:hAnsi="Spectral-Regular" w:cs="Spectral-Regular"/>
          <w:color w:val="FF4242"/>
          <w:sz w:val="16"/>
          <w:szCs w:val="16"/>
          <w:lang w:val="fr-FR"/>
        </w:rPr>
        <w:t>https://doi.org/10.7202/1030892ar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FF4242"/>
          <w:sz w:val="16"/>
          <w:szCs w:val="16"/>
          <w:lang w:val="fr-FR"/>
        </w:rPr>
      </w:pPr>
      <w:r>
        <w:rPr>
          <w:rFonts w:ascii="Spectral-Regular" w:hAnsi="Spectral-Regular" w:cs="Spectral-Regular"/>
          <w:color w:val="FF4242"/>
          <w:sz w:val="16"/>
          <w:szCs w:val="16"/>
          <w:lang w:val="fr-FR"/>
        </w:rPr>
        <w:t>Aller au sommaire du numéro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6"/>
          <w:szCs w:val="16"/>
          <w:lang w:val="fr-FR"/>
        </w:rPr>
      </w:pPr>
      <w:r>
        <w:rPr>
          <w:rFonts w:ascii="Spectral-Regular" w:hAnsi="Spectral-Regular" w:cs="Spectral-Regular"/>
          <w:color w:val="000000"/>
          <w:sz w:val="16"/>
          <w:szCs w:val="16"/>
          <w:lang w:val="fr-FR"/>
        </w:rPr>
        <w:t>Éditeur(s)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4"/>
          <w:szCs w:val="14"/>
          <w:lang w:val="fr-FR"/>
        </w:rPr>
      </w:pPr>
      <w:r>
        <w:rPr>
          <w:rFonts w:ascii="Spectral-Regular" w:hAnsi="Spectral-Regular" w:cs="Spectral-Regular"/>
          <w:color w:val="000000"/>
          <w:sz w:val="14"/>
          <w:szCs w:val="14"/>
          <w:lang w:val="fr-FR"/>
        </w:rPr>
        <w:t>Faculté d'éducation, Université de Sherbrooke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6"/>
          <w:szCs w:val="16"/>
          <w:lang w:val="fr-FR"/>
        </w:rPr>
      </w:pPr>
      <w:r>
        <w:rPr>
          <w:rFonts w:ascii="Spectral-Regular" w:hAnsi="Spectral-Regular" w:cs="Spectral-Regular"/>
          <w:color w:val="000000"/>
          <w:sz w:val="16"/>
          <w:szCs w:val="16"/>
          <w:lang w:val="fr-FR"/>
        </w:rPr>
        <w:t>ISSN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4"/>
          <w:szCs w:val="14"/>
          <w:lang w:val="fr-FR"/>
        </w:rPr>
      </w:pPr>
      <w:r>
        <w:rPr>
          <w:rFonts w:ascii="Spectral-Regular" w:hAnsi="Spectral-Regular" w:cs="Spectral-Regular"/>
          <w:color w:val="000000"/>
          <w:sz w:val="14"/>
          <w:szCs w:val="14"/>
          <w:lang w:val="fr-FR"/>
        </w:rPr>
        <w:t>1911-8805 (numérique)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FF4242"/>
          <w:sz w:val="16"/>
          <w:szCs w:val="16"/>
          <w:lang w:val="fr-FR"/>
        </w:rPr>
      </w:pPr>
      <w:r>
        <w:rPr>
          <w:rFonts w:ascii="Spectral-Regular" w:hAnsi="Spectral-Regular" w:cs="Spectral-Regular"/>
          <w:color w:val="FF4242"/>
          <w:sz w:val="16"/>
          <w:szCs w:val="16"/>
          <w:lang w:val="fr-FR"/>
        </w:rPr>
        <w:t>Découvrir la revue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6"/>
          <w:szCs w:val="16"/>
          <w:lang w:val="fr-FR"/>
        </w:rPr>
      </w:pPr>
      <w:r>
        <w:rPr>
          <w:rFonts w:ascii="Spectral-Regular" w:hAnsi="Spectral-Regular" w:cs="Spectral-Regular"/>
          <w:color w:val="000000"/>
          <w:sz w:val="16"/>
          <w:szCs w:val="16"/>
          <w:lang w:val="fr-FR"/>
        </w:rPr>
        <w:t>Citer ce compte rendu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i/>
          <w:iCs/>
          <w:color w:val="000000"/>
          <w:sz w:val="14"/>
          <w:szCs w:val="14"/>
          <w:lang w:val="fr-FR"/>
        </w:rPr>
      </w:pPr>
      <w:r>
        <w:rPr>
          <w:rFonts w:ascii="Spectral-Regular" w:hAnsi="Spectral-Regular" w:cs="Spectral-Regular"/>
          <w:color w:val="000000"/>
          <w:sz w:val="14"/>
          <w:szCs w:val="14"/>
          <w:lang w:val="fr-FR"/>
        </w:rPr>
        <w:t xml:space="preserve">Chevrier, J. (2014). Compte rendu de [Tardif, M. et Desbiens, J.-F. (2014). </w:t>
      </w:r>
      <w:r>
        <w:rPr>
          <w:rFonts w:ascii="Spectral-Regular" w:hAnsi="Spectral-Regular" w:cs="Spectral-Regular"/>
          <w:i/>
          <w:iCs/>
          <w:color w:val="000000"/>
          <w:sz w:val="14"/>
          <w:szCs w:val="14"/>
          <w:lang w:val="fr-FR"/>
        </w:rPr>
        <w:t>La vogue des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4"/>
          <w:szCs w:val="14"/>
          <w:lang w:val="fr-FR"/>
        </w:rPr>
      </w:pPr>
      <w:r>
        <w:rPr>
          <w:rFonts w:ascii="Spectral-Regular" w:hAnsi="Spectral-Regular" w:cs="Spectral-Regular"/>
          <w:i/>
          <w:iCs/>
          <w:color w:val="000000"/>
          <w:sz w:val="14"/>
          <w:szCs w:val="14"/>
          <w:lang w:val="fr-FR"/>
        </w:rPr>
        <w:t>compétences dans la formation des enseignants: bilan critique et perspectives d’avenir</w:t>
      </w:r>
      <w:r>
        <w:rPr>
          <w:rFonts w:ascii="Spectral-Regular" w:hAnsi="Spectral-Regular" w:cs="Spectral-Regular"/>
          <w:color w:val="000000"/>
          <w:sz w:val="14"/>
          <w:szCs w:val="14"/>
          <w:lang w:val="fr-FR"/>
        </w:rPr>
        <w:t>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4"/>
          <w:szCs w:val="14"/>
          <w:lang w:val="fr-FR"/>
        </w:rPr>
      </w:pPr>
      <w:r>
        <w:rPr>
          <w:rFonts w:ascii="Spectral-Regular" w:hAnsi="Spectral-Regular" w:cs="Spectral-Regular"/>
          <w:color w:val="000000"/>
          <w:sz w:val="14"/>
          <w:szCs w:val="14"/>
          <w:lang w:val="fr-FR"/>
        </w:rPr>
        <w:t xml:space="preserve">Québec: Presses de l’Université Laval]. </w:t>
      </w:r>
      <w:r>
        <w:rPr>
          <w:rFonts w:ascii="Spectral-Regular" w:hAnsi="Spectral-Regular" w:cs="Spectral-Regular"/>
          <w:i/>
          <w:iCs/>
          <w:color w:val="000000"/>
          <w:sz w:val="14"/>
          <w:szCs w:val="14"/>
          <w:lang w:val="fr-FR"/>
        </w:rPr>
        <w:t>Nouveaux cahiers de la recherche en éducation</w:t>
      </w:r>
      <w:r>
        <w:rPr>
          <w:rFonts w:ascii="Spectral-Regular" w:hAnsi="Spectral-Regular" w:cs="Spectral-Regular"/>
          <w:color w:val="000000"/>
          <w:sz w:val="14"/>
          <w:szCs w:val="14"/>
          <w:lang w:val="fr-FR"/>
        </w:rPr>
        <w:t>,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sz w:val="14"/>
          <w:szCs w:val="14"/>
          <w:lang w:val="fr-FR"/>
        </w:rPr>
      </w:pPr>
      <w:r>
        <w:rPr>
          <w:rFonts w:ascii="Spectral-Regular" w:hAnsi="Spectral-Regular" w:cs="Spectral-Regular"/>
          <w:i/>
          <w:iCs/>
          <w:color w:val="000000"/>
          <w:sz w:val="14"/>
          <w:szCs w:val="14"/>
          <w:lang w:val="fr-FR"/>
        </w:rPr>
        <w:t xml:space="preserve">17 </w:t>
      </w:r>
      <w:r>
        <w:rPr>
          <w:rFonts w:ascii="Spectral-Regular" w:hAnsi="Spectral-Regular" w:cs="Spectral-Regular"/>
          <w:color w:val="000000"/>
          <w:sz w:val="14"/>
          <w:szCs w:val="14"/>
          <w:lang w:val="fr-FR"/>
        </w:rPr>
        <w:t>(2), 178–182. https://doi.org/10.7202/1030892ar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b/>
          <w:bCs/>
          <w:color w:val="4F82BE"/>
          <w:sz w:val="36"/>
          <w:szCs w:val="36"/>
          <w:lang w:val="fr-FR"/>
        </w:rPr>
      </w:pPr>
      <w:r>
        <w:rPr>
          <w:rFonts w:ascii="Spectral-Regular" w:hAnsi="Spectral-Regular" w:cs="Spectral-Regular"/>
          <w:b/>
          <w:bCs/>
          <w:color w:val="4F82BE"/>
          <w:sz w:val="36"/>
          <w:szCs w:val="36"/>
          <w:lang w:val="fr-FR"/>
        </w:rPr>
        <w:t>Recension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i/>
          <w:iCs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 xml:space="preserve">Tardif, M. et Desbiens, J.-F. (2014). </w:t>
      </w:r>
      <w:r>
        <w:rPr>
          <w:rFonts w:ascii="Spectral-Regular" w:hAnsi="Spectral-Regular" w:cs="Spectral-Regular"/>
          <w:i/>
          <w:iCs/>
          <w:color w:val="000000"/>
          <w:lang w:val="fr-FR"/>
        </w:rPr>
        <w:t>La vogue des compétences dans la formation des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i/>
          <w:iCs/>
          <w:color w:val="000000"/>
          <w:lang w:val="fr-FR"/>
        </w:rPr>
        <w:t>enseignants: bilan critique et perspectives d’avenir</w:t>
      </w:r>
      <w:r>
        <w:rPr>
          <w:rFonts w:ascii="Spectral-Regular" w:hAnsi="Spectral-Regular" w:cs="Spectral-Regular"/>
          <w:color w:val="000000"/>
          <w:lang w:val="fr-FR"/>
        </w:rPr>
        <w:t>. Québec: Presses de l’Université Laval.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b/>
          <w:bCs/>
          <w:color w:val="000000"/>
          <w:sz w:val="32"/>
          <w:szCs w:val="32"/>
          <w:lang w:val="fr-FR"/>
        </w:rPr>
      </w:pPr>
      <w:r>
        <w:rPr>
          <w:rFonts w:ascii="Spectral-Regular" w:hAnsi="Spectral-Regular" w:cs="Spectral-Regular"/>
          <w:b/>
          <w:bCs/>
          <w:color w:val="000000"/>
          <w:sz w:val="32"/>
          <w:szCs w:val="32"/>
          <w:lang w:val="fr-FR"/>
        </w:rPr>
        <w:t>Présentation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L’objectif général de cet ouvrage collectif international coordonné par Maurice Tardif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et Jean-François Desbiens est de porter un regard critique sur la notion de «compétences»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qui sert, depuis plus de 20 ans, d’organisateurs et d’analyseurs conceptuels en formation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à l’enseignement, mais aussi dans l’exercice de la profession enseignante. Réunis en dix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chapitres, les textes présentent une synthèse de réflexions et de travaux francophones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concernant la formation d’«enseignants compétents». L’ouvrage est organisé en deux parties.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La première partie comprend cinq textes généraux portant sur les fondements conceptuels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des compétences ainsi que sur leur place à l’intérieur des cadres institutionnels ou sociaux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globaux au Québec et en Europe. La deuxième partie regroupe des recherches empiriques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et des démarches expérientielles ciblant divers aspects de la formation des enseignants à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propos des compétences incluant les stages, la formation pratique, les cours théoriques, la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reconnaissance des acquis d’expérience et la fin du parcours de formation à l’enseignement.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En posant d’abord les fondements de la compétence, le premier chapitre proposé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par Philippe Perrenoud tente de répondre à trois questions cruciales: 1) À quel niveau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d’abstraction convient-il de situer le référentiel de compétences? 2) Quelles compétences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faut-il développer en formation initiale et à quel point doivent-elles l’être? 3) Est-ce que la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formation des professeurs se limite à un ensemble de compétences? Le deuxième chapitre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rédigé par Philippe Jonnaert pointe la faiblesse de la cohérence interne du document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intitulé: «La formation à l’enseignement: les orientations, les compétences professionnelles»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4F82BE"/>
          <w:sz w:val="20"/>
          <w:szCs w:val="20"/>
          <w:lang w:val="fr-FR"/>
        </w:rPr>
      </w:pPr>
      <w:r>
        <w:rPr>
          <w:rFonts w:ascii="Spectral-Regular" w:hAnsi="Spectral-Regular" w:cs="Spectral-Regular"/>
          <w:color w:val="4F82BE"/>
          <w:sz w:val="20"/>
          <w:szCs w:val="20"/>
          <w:lang w:val="fr-FR"/>
        </w:rPr>
        <w:t>Vol. 17, n</w:t>
      </w:r>
      <w:r>
        <w:rPr>
          <w:rFonts w:ascii="Spectral-Regular" w:hAnsi="Spectral-Regular" w:cs="Spectral-Regular"/>
          <w:color w:val="4F82BE"/>
          <w:sz w:val="12"/>
          <w:szCs w:val="12"/>
          <w:lang w:val="fr-FR"/>
        </w:rPr>
        <w:t xml:space="preserve">o </w:t>
      </w:r>
      <w:r>
        <w:rPr>
          <w:rFonts w:ascii="Spectral-Regular" w:hAnsi="Spectral-Regular" w:cs="Spectral-Regular"/>
          <w:color w:val="4F82BE"/>
          <w:sz w:val="20"/>
          <w:szCs w:val="20"/>
          <w:lang w:val="fr-FR"/>
        </w:rPr>
        <w:t>2, 2014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(Gouvernement du Québec, Ministère de l’Éducation, 2001). Ce regard critique s’appuie sur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des données extraites de l’analyse de deux dimensions: d’une part, la cohérence entre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l’approche utilisée dans le programme et les orientations précisées dans le cadre d’orientation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curriculaire et, d’autre part, la cohérence entre la formalisation des compétences dans le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programme et les caractéristiques d’une compétence précisées dans le document lui-même.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Les résultats de l’analyse permettent à Jonnaert de constater «que les compétences pour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lastRenderedPageBreak/>
        <w:t>la formation professionnelle des enseignants au Québec restent à formuler clairement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et complètement» (p. 55). Dans le troisième chapitre, Maurice Tardif et Véronique Jobin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dressent un bilan critique de 20 ans de réforme québécoise. Dans un premier temps,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les auteurs décrivent l’actuel système de formation des enseignants avec les principales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réformes qui l’ont marqué et l’organisation qui en a résulté. Dans un deuxième temps, ils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discutent des enjeux et des difficultés qui semblent affecter l’implantation de ces réformes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dans les programmes de formation initiale à l’enseignement. En troisième lieu, ils traitent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des perceptions et des évaluations des étudiants, les nouveaux diplômés et les enseignants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à propos de leur formation. Bernard Wentzel, dans le quatrième chapitre, propose un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texte qui rend compte d’une analyse documentaire portant sur la place de l’approche par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compétence dans la construction d’orientations et d’objectifs politiques communs à l’Union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européenne (UE) qui met en exergue le manque de profondeur théorique de cette dernière.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En étudiant la manière dont les enseignants répondent à l’approche par compétences (APC)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dans la Communauté française de Belgique, le cinquième chapitre écrit par Arnault Deltour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et Éric Mangez tente de déterminer les aspects de l’APC qui suscitent les critiques et ceux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qui remportent une certaine adhésion. Dans le sixième chapitre, Enrique Correa Molina et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Colette Gervais situent l’utilisation du concept polysémique de compétence dans le contexte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 la formation initiale à l’enseignement en s’appuyant sur des résultats d’études qui traitent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 sa pertinence dans les stages. Les auteurs avancent principalement deux arguments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pour défendre l’intérêt et la pertinence de ce concept: 1) la compétence offre un cadre pour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comprendre la pratique professionnelle; 2) la compétence redonne du sens au concept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d’alternance en formation professionnelle. Ahmed Zourhlal et Sandra Coulombe proposent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dans le septième chapitre une réflexion critique du processus de reconnaissance des acquis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disciplinaires (RAD) au baccalauréat en enseignement professionnel dans une université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4F82BE"/>
          <w:lang w:val="fr-FR"/>
        </w:rPr>
      </w:pPr>
      <w:r>
        <w:rPr>
          <w:rFonts w:ascii="Spectral-Regular" w:hAnsi="Spectral-Regular" w:cs="Spectral-Regular"/>
          <w:i/>
          <w:iCs/>
          <w:color w:val="4F82BE"/>
          <w:lang w:val="fr-FR"/>
        </w:rPr>
        <w:t>Nouveaux c@hiers de la recherche en éducation</w:t>
      </w:r>
      <w:r>
        <w:rPr>
          <w:rFonts w:ascii="Spectral-Regular" w:hAnsi="Spectral-Regular" w:cs="Spectral-Regular"/>
          <w:color w:val="4F82BE"/>
          <w:lang w:val="fr-FR"/>
        </w:rPr>
        <w:t>, vol. 17, n</w:t>
      </w:r>
      <w:r>
        <w:rPr>
          <w:rFonts w:ascii="Spectral-Regular" w:hAnsi="Spectral-Regular" w:cs="Spectral-Regular"/>
          <w:color w:val="4F82BE"/>
          <w:sz w:val="14"/>
          <w:szCs w:val="14"/>
          <w:lang w:val="fr-FR"/>
        </w:rPr>
        <w:t xml:space="preserve">o </w:t>
      </w:r>
      <w:r>
        <w:rPr>
          <w:rFonts w:ascii="Spectral-Regular" w:hAnsi="Spectral-Regular" w:cs="Spectral-Regular"/>
          <w:color w:val="4F82BE"/>
          <w:lang w:val="fr-FR"/>
        </w:rPr>
        <w:t>2, 2014, p. 178 à 182 179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québécoise. Ils remettent notamment en question la perspective professionnalisante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 la RAD dans le contexte de l’approche par compétences et analysent comment cette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composante de la formation contribue au développement des compétences professionnelles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propres à l’enseignement. En s’appuyant sur leur expérience de responsables de cours en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gestion de classe, Cecilia Borges et Annie Malo soulèvent dans le huitième chapitre les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enjeux et les possibilités de soutenir le développement des compétences dans les cours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théoriques à l’université. Les auteures reprennent les propos du CAPFE qui mentionne que le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référentiel de compétences du ministère de l’Éducation du Québec serait «sous-utilisé dans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les cours dits théoriques» (CAPFE, 2011, p. 10) bien que les compétences soient au coeur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 la formation. Le neuvième chapitre rédigé par Jean-François Desbiens, Jaouad Alem et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Bruce Oddson présente les résultats d’une analyse secondaire de données obtenues par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 xml:space="preserve">Bidjang </w:t>
      </w:r>
      <w:r>
        <w:rPr>
          <w:rFonts w:ascii="Spectral-Regular" w:hAnsi="Spectral-Regular" w:cs="Spectral-Regular"/>
          <w:i/>
          <w:iCs/>
          <w:color w:val="000000"/>
          <w:lang w:val="fr-FR"/>
        </w:rPr>
        <w:t xml:space="preserve">et al. </w:t>
      </w:r>
      <w:r>
        <w:rPr>
          <w:rFonts w:ascii="Spectral-Regular" w:hAnsi="Spectral-Regular" w:cs="Spectral-Regular"/>
          <w:color w:val="000000"/>
          <w:lang w:val="fr-FR"/>
        </w:rPr>
        <w:t>(2005). Cette analyse porte sur l’appréciation par 401 personnes enseignantes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associées du niveau de maitrise des compétences en enseignement de stagiaires finissants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réalisée à l’aide du référentiel québécois publié en 2001. Leurs résultats amènent le lecteur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à remettre en question la façon dont il faut utiliser le référentiel pour évaluer et interpréter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le niveau de développement des compétences des stagiaires en enseignement. Le dernier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chapitre écrit par François Vandercleyen, Ghislain Carlier et Yves Devilllers fait état d’une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recherche réalisée en Belgique francophone, qui montre comment l’expérience des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enseignants associés (EA) génère une redéfinition, voire une reconstruction du référentiel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 compétences prescrit. Les résultats mettent en évidence, entre autres, la façon dont les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EA déclarent opérationnaliser ce référentiel à partir de leurs propres conceptions du métier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lastRenderedPageBreak/>
        <w:t>d’enseignant et d’accompagnateur de stagiaires.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b/>
          <w:bCs/>
          <w:color w:val="000000"/>
          <w:sz w:val="32"/>
          <w:szCs w:val="32"/>
          <w:lang w:val="fr-FR"/>
        </w:rPr>
      </w:pPr>
      <w:r>
        <w:rPr>
          <w:rFonts w:ascii="Spectral-Regular" w:hAnsi="Spectral-Regular" w:cs="Spectral-Regular"/>
          <w:b/>
          <w:bCs/>
          <w:color w:val="000000"/>
          <w:sz w:val="32"/>
          <w:szCs w:val="32"/>
          <w:lang w:val="fr-FR"/>
        </w:rPr>
        <w:t>Point de vue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Cet ouvrage s’avère particulièrement intéressant pour l’ensemble des acteurs qui oeuvrent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dans la sphère éducative, du préscolaire à l’université. Il permet en effet de comprendre avec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discernement la vaste portée de la vogue des compétences dans la formation des enseignants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et ainsi de développer un regard critique par rapport à ce concept controversé. Ce livre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a également pour intérêt de proposer plusieurs définitions de la notion de compétences,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4F82BE"/>
          <w:lang w:val="fr-FR"/>
        </w:rPr>
      </w:pPr>
      <w:r>
        <w:rPr>
          <w:rFonts w:ascii="Spectral-Regular" w:hAnsi="Spectral-Regular" w:cs="Spectral-Regular"/>
          <w:color w:val="4F82BE"/>
          <w:lang w:val="fr-FR"/>
        </w:rPr>
        <w:t>Recension 180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grâce à l’éventail d’approches suggérées par les auteurs qui y ont contribué. Chaque auteur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apporte son point de vue à la lumière de ses propres recherches. Plusieurs textes traitent des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fondements conceptuels de l’approche par compétences, que ce soit au Québec, en Belgique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ou ailleurs en Europe et amènent ainsi le lecteur à se saisir des différentes nuances nécessaires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à une compréhension élargie du concept. Par ailleurs, les textes abordant la formation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initiale des enseignants par le biais de l’approche par compétences sont diversifiés pour ainsi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répondre à plusieurs questions. Ils font état autant de résultats de recherches empiriques que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 textes critiques portant sur l’approche par compétences. Ils tendent à préciser le sens que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donnent les enseignants en formation à cette approche ainsi que la pertinence du concept en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formation pratique des enseignants. Certains responsables de programmes se questionnent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également sur le développement des compétences à l’intérieur de cours théoriques. Cette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richesse s’exprime aussi par la variété des méthodes utilisées, qu’elles soient qualitatives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ou quantitatives. À ce propos, signalons que certains textes requièrent un minimum de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connaissances statistiques afin d’apprécier leurs résultats (voir chapitres 5 et 9). Nonobstant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ce constat, les auteurs de ces chapitres explicitent les résultats et les rendent facilement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intelligibles pour les néophytes en méthodes quantitatives. Bien que l’ouvrage regroupe la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collaboration de plusieurs chercheurs étrangers, il est à noter que les textes faisant référence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au référentiel de compétences du Québec sont fortement représentés (sept textes sur dix).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Si seulement trois textes abordent des compétences à l’extérieur du Québec, notamment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en Belgique et en Suisse, il demeure intéressant pour le lecteur de prendre connaissance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des différences substantielles qui caractérisent les référentiels de compétences européens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comparativement au référentiel québécois. À la suite de la lecture des différents chapitres, le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lecteur retiendra que les référentiels de compétences dans le champ de l’éducation sont loin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d’être complètement actualisés et de faire l’unanimité, que ce soit auprès des praticiens ou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des chercheurs, autant au Québec qu’en Europe francophone. En ce qui a trait à la lecture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de l’ouvrage, il est possible pour le lecteur de débuter avec le chapitre qui rejoint davantage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ses intérêts. En effet, il est concevable pour ce dernier de saisir en partie ou complètement la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nature de l’approche par compétences, nécessaire à la compréhension du chapitre puisque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lastRenderedPageBreak/>
        <w:t>chacun des chapitres introduit certains fondements de l’approche par compétences de façon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plus ou moins étendue, selon l’essence du texte.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4F82BE"/>
          <w:lang w:val="fr-FR"/>
        </w:rPr>
      </w:pPr>
      <w:r>
        <w:rPr>
          <w:rFonts w:ascii="Spectral-Regular" w:hAnsi="Spectral-Regular" w:cs="Spectral-Regular"/>
          <w:i/>
          <w:iCs/>
          <w:color w:val="4F82BE"/>
          <w:lang w:val="fr-FR"/>
        </w:rPr>
        <w:t>Nouveaux c@hiers de la recherche en éducation</w:t>
      </w:r>
      <w:r>
        <w:rPr>
          <w:rFonts w:ascii="Spectral-Regular" w:hAnsi="Spectral-Regular" w:cs="Spectral-Regular"/>
          <w:color w:val="4F82BE"/>
          <w:lang w:val="fr-FR"/>
        </w:rPr>
        <w:t>, vol. 17, n</w:t>
      </w:r>
      <w:r>
        <w:rPr>
          <w:rFonts w:ascii="Spectral-Regular" w:hAnsi="Spectral-Regular" w:cs="Spectral-Regular"/>
          <w:color w:val="4F82BE"/>
          <w:sz w:val="14"/>
          <w:szCs w:val="14"/>
          <w:lang w:val="fr-FR"/>
        </w:rPr>
        <w:t xml:space="preserve">o </w:t>
      </w:r>
      <w:r>
        <w:rPr>
          <w:rFonts w:ascii="Spectral-Regular" w:hAnsi="Spectral-Regular" w:cs="Spectral-Regular"/>
          <w:color w:val="4F82BE"/>
          <w:lang w:val="fr-FR"/>
        </w:rPr>
        <w:t>2, 2014, p. 178 à 182 181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En guise de conclusion, les directeurs de l’ouvrage décrivent les perspectives d’avenir de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l’approche par compétences qui, selon eux, doivent passer par le stage en enseignement,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car il présente un «très fort potentiel de développement professionnel» (p. 263). Toutefois, il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semblerait que le stage ne parvienne pas toujours à «s’actualiser pleinement, notamment en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raison de la difficulté chronique à connecter les différents milieux de formation de manière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cohésive» (p. 263). Partant, les auteurs suggèrent qu’il serait pertinent de prioriser cette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problématique dans des recherches futures.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Jonathan Chevrier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Étudiant au doctorat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Faculté d’éducation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Faculté des sciences de l’activité physique</w:t>
      </w:r>
    </w:p>
    <w:p w:rsidR="00E526B7" w:rsidRDefault="00E526B7" w:rsidP="00E526B7">
      <w:pPr>
        <w:autoSpaceDE w:val="0"/>
        <w:autoSpaceDN w:val="0"/>
        <w:adjustRightInd w:val="0"/>
        <w:rPr>
          <w:rFonts w:ascii="Spectral-Regular" w:hAnsi="Spectral-Regular" w:cs="Spectral-Regular"/>
          <w:color w:val="000000"/>
          <w:lang w:val="fr-FR"/>
        </w:rPr>
      </w:pPr>
      <w:r>
        <w:rPr>
          <w:rFonts w:ascii="Spectral-Regular" w:hAnsi="Spectral-Regular" w:cs="Spectral-Regular"/>
          <w:color w:val="000000"/>
          <w:lang w:val="fr-FR"/>
        </w:rPr>
        <w:t>Université de Sherbrooke</w:t>
      </w:r>
    </w:p>
    <w:p w:rsidR="00E526B7" w:rsidRDefault="00E526B7" w:rsidP="00E526B7">
      <w:r>
        <w:rPr>
          <w:rFonts w:ascii="Spectral-Regular" w:hAnsi="Spectral-Regular" w:cs="Spectral-Regular"/>
          <w:color w:val="4F82BE"/>
          <w:lang w:val="fr-FR"/>
        </w:rPr>
        <w:t>Recension 182</w:t>
      </w:r>
    </w:p>
    <w:sectPr w:rsidR="00E526B7" w:rsidSect="00D445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7"/>
    <w:rsid w:val="00D445C0"/>
    <w:rsid w:val="00E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61618"/>
  <w15:chartTrackingRefBased/>
  <w15:docId w15:val="{D0E13510-3C17-FC47-98BF-127FA53C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2019-11-26T09:06:00Z</dcterms:created>
  <dcterms:modified xsi:type="dcterms:W3CDTF">2019-11-26T09:07:00Z</dcterms:modified>
</cp:coreProperties>
</file>